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C89A" w14:textId="1741E918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697FDDB" w14:textId="1FF2A6FB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AFCBEA8" w14:textId="0D2AF3D9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3D983E1" w14:textId="0AA5237C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C4F103A" w14:textId="002E8C84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D158C8" w14:textId="3E47A64F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DC3E8A4" w14:textId="3FC0B39F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EB79EA5" w14:textId="454E0F82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EB5D9D2" w14:textId="01724734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8223750" w14:textId="73B0ABFC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BC2E987" w14:textId="5F85D5C1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C6634AA" w14:textId="67FF38A5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52CF871" w14:textId="6943F378" w:rsidR="00ED40C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EE03C6D" w14:textId="77777777" w:rsidR="00ED40CB" w:rsidRPr="000D1DAB" w:rsidRDefault="00ED40CB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788BE13E" w14:textId="7F34053F" w:rsidR="008C233E" w:rsidRPr="00B12D9E" w:rsidRDefault="008C233E" w:rsidP="00CE1BB0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“</w:t>
      </w:r>
      <w:proofErr w:type="spellStart"/>
      <w:proofErr w:type="gram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</w:t>
      </w:r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‘</w:t>
      </w:r>
      <w:proofErr w:type="gramEnd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zbekiston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Respublikasi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Tashqi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iqtisodiy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faoliyat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milliy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8C233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banki</w:t>
      </w:r>
      <w:proofErr w:type="spellEnd"/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” </w:t>
      </w:r>
      <w:r w:rsidRPr="000D1DAB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AJ</w:t>
      </w:r>
      <w:r w:rsidRPr="00B12D9E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uchun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RI</w:t>
      </w:r>
      <w:r w:rsidR="00F574E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P</w:t>
      </w:r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E NCC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bazasida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provayderga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bog‘liq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bo‘lmagan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IP-manzil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maydoni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(IPv4/24)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avtonom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tizimni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(AS)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ro‘yxatdan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o‘tkazish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(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qayta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ro‘yxatdan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o‘tkazish</w:t>
      </w:r>
      <w:proofErr w:type="spellEnd"/>
      <w:r w:rsidR="00CE1BB0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)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xizmatlarini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xarid</w:t>
      </w:r>
      <w:proofErr w:type="spellEnd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007E98" w:rsidRPr="00007E98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qilish</w:t>
      </w:r>
      <w:proofErr w:type="spellEnd"/>
      <w:r w:rsidR="003E6DFA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94D11D8" w14:textId="77777777" w:rsidR="008C233E" w:rsidRPr="00B12D9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5A38F6A7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DF05C4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3DB7A91B" w14:textId="4E1582C9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29FC7043" w:rsidR="00D46D87" w:rsidRPr="000D1DAB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ishtirokchisi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E52A1A4" w:rsidR="00293494" w:rsidRPr="000D1DAB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0D1DAB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="00353FC0" w:rsidRPr="000D1DAB">
        <w:rPr>
          <w:rFonts w:ascii="Times New Roman" w:hAnsi="Times New Roman" w:cs="Times New Roman"/>
          <w:lang w:val="en-US"/>
        </w:rPr>
        <w:t xml:space="preserve"> </w:t>
      </w:r>
      <w:hyperlink w:anchor="разд_2_техчасть" w:history="1"/>
      <w:proofErr w:type="spellStart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3B514D0E" w:rsidR="00293494" w:rsidRPr="003E6DFA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ning</w:t>
      </w:r>
      <w:proofErr w:type="spellEnd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3E6DFA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0CDCCDD0" w:rsidR="00293494" w:rsidRPr="003E6DFA" w:rsidRDefault="003E6DFA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Eng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yaxshi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takliflarni</w:t>
      </w:r>
      <w:proofErr w:type="spellEnd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tanlash</w:t>
      </w:r>
      <w:r w:rsidR="00353FC0" w:rsidRPr="000D1DAB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="00353FC0" w:rsidRPr="000D1DAB">
        <w:rPr>
          <w:rFonts w:ascii="Times New Roman" w:hAnsi="Times New Roman" w:cs="Times New Roman"/>
          <w:lang w:val="en-US"/>
        </w:rPr>
        <w:t xml:space="preserve"> </w:t>
      </w:r>
      <w:hyperlink w:anchor="разд_4_контр" w:history="1"/>
      <w:proofErr w:type="spellStart"/>
      <w:r w:rsidR="00353FC0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0D1DAB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49B71BD4" w:rsidR="00353FC0" w:rsidRPr="00CE1BB0" w:rsidRDefault="00CE1BB0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E1BB0">
              <w:rPr>
                <w:rFonts w:ascii="Times New Roman" w:hAnsi="Times New Roman" w:cs="Times New Roman"/>
              </w:rPr>
              <w:t>“</w:t>
            </w:r>
            <w:proofErr w:type="spellStart"/>
            <w:r w:rsidRPr="00CE1BB0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Tashqi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iqtisodiy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faoliyat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milliy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banki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Pr="00CE1BB0">
              <w:rPr>
                <w:rFonts w:ascii="Times New Roman" w:hAnsi="Times New Roman" w:cs="Times New Roman"/>
              </w:rPr>
              <w:t>uchun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RI</w:t>
            </w:r>
            <w:r w:rsidR="00F574E3">
              <w:rPr>
                <w:rFonts w:ascii="Times New Roman" w:hAnsi="Times New Roman" w:cs="Times New Roman"/>
                <w:lang w:val="en-US"/>
              </w:rPr>
              <w:t>P</w:t>
            </w:r>
            <w:r w:rsidRPr="00CE1BB0">
              <w:rPr>
                <w:rFonts w:ascii="Times New Roman" w:hAnsi="Times New Roman" w:cs="Times New Roman"/>
              </w:rPr>
              <w:t xml:space="preserve">E NCC </w:t>
            </w:r>
            <w:proofErr w:type="spellStart"/>
            <w:r w:rsidRPr="00CE1BB0">
              <w:rPr>
                <w:rFonts w:ascii="Times New Roman" w:hAnsi="Times New Roman" w:cs="Times New Roman"/>
              </w:rPr>
              <w:t>bazasida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provayderga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bog‘liq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IP-</w:t>
            </w:r>
            <w:proofErr w:type="spellStart"/>
            <w:r w:rsidRPr="00CE1BB0">
              <w:rPr>
                <w:rFonts w:ascii="Times New Roman" w:hAnsi="Times New Roman" w:cs="Times New Roman"/>
              </w:rPr>
              <w:t>manzil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maydoni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(IPv4/24) </w:t>
            </w:r>
            <w:proofErr w:type="spellStart"/>
            <w:r w:rsidRPr="00CE1BB0">
              <w:rPr>
                <w:rFonts w:ascii="Times New Roman" w:hAnsi="Times New Roman" w:cs="Times New Roman"/>
              </w:rPr>
              <w:t>va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avtonom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tizimni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(AS) </w:t>
            </w:r>
            <w:proofErr w:type="spellStart"/>
            <w:r w:rsidRPr="00CE1BB0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E1BB0">
              <w:rPr>
                <w:rFonts w:ascii="Times New Roman" w:hAnsi="Times New Roman" w:cs="Times New Roman"/>
              </w:rPr>
              <w:t>qayta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E1BB0">
              <w:rPr>
                <w:rFonts w:ascii="Times New Roman" w:hAnsi="Times New Roman" w:cs="Times New Roman"/>
              </w:rPr>
              <w:t>xizmatlarini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xarid</w:t>
            </w:r>
            <w:proofErr w:type="spellEnd"/>
            <w:r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BB0">
              <w:rPr>
                <w:rFonts w:ascii="Times New Roman" w:hAnsi="Times New Roman" w:cs="Times New Roman"/>
              </w:rPr>
              <w:t>qilish</w:t>
            </w:r>
            <w:proofErr w:type="spellEnd"/>
            <w:r w:rsidRPr="00CE1BB0">
              <w:rPr>
                <w:rFonts w:ascii="Times New Roman" w:hAnsi="Times New Roman" w:cs="Times New Roman"/>
              </w:rPr>
              <w:t>.</w:t>
            </w:r>
          </w:p>
        </w:tc>
      </w:tr>
      <w:tr w:rsidR="00353FC0" w:rsidRPr="00A64467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ED40CB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25EBF018" w:rsidR="00353FC0" w:rsidRPr="000D1DAB" w:rsidRDefault="00007E98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E1BB0">
              <w:rPr>
                <w:rFonts w:ascii="Times New Roman" w:hAnsi="Times New Roman" w:cs="Times New Roman"/>
                <w:lang w:val="en-US"/>
              </w:rPr>
              <w:t>5</w:t>
            </w:r>
            <w:r w:rsidR="009818DE">
              <w:rPr>
                <w:rFonts w:ascii="Times New Roman" w:hAnsi="Times New Roman" w:cs="Times New Roman"/>
                <w:lang w:val="en-US"/>
              </w:rPr>
              <w:t> </w:t>
            </w:r>
            <w:r w:rsidR="00CE1BB0">
              <w:rPr>
                <w:rFonts w:ascii="Times New Roman" w:hAnsi="Times New Roman" w:cs="Times New Roman"/>
                <w:lang w:val="en-US"/>
              </w:rPr>
              <w:t>6</w:t>
            </w:r>
            <w:r w:rsidR="009818DE" w:rsidRPr="009818DE">
              <w:rPr>
                <w:rFonts w:ascii="Times New Roman" w:hAnsi="Times New Roman" w:cs="Times New Roman"/>
                <w:lang w:val="en-US"/>
              </w:rPr>
              <w:t>00</w:t>
            </w:r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E1BB0">
              <w:rPr>
                <w:rFonts w:ascii="Times New Roman" w:hAnsi="Times New Roman" w:cs="Times New Roman"/>
                <w:lang w:val="en-US"/>
              </w:rPr>
              <w:t xml:space="preserve">AQSH </w:t>
            </w:r>
            <w:proofErr w:type="spellStart"/>
            <w:r w:rsidR="00CE1BB0"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  <w:r w:rsidR="00CE1BB0">
              <w:rPr>
                <w:rFonts w:ascii="Times New Roman" w:hAnsi="Times New Roman" w:cs="Times New Roman"/>
                <w:lang w:val="en-US"/>
              </w:rPr>
              <w:t>,</w:t>
            </w:r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</w:t>
            </w:r>
            <w:r>
              <w:rPr>
                <w:rFonts w:ascii="Times New Roman" w:hAnsi="Times New Roman" w:cs="Times New Roman"/>
                <w:lang w:val="en-US"/>
              </w:rPr>
              <w:t>ma</w:t>
            </w:r>
            <w:r w:rsidR="00D34CB7" w:rsidRPr="00D34CB7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64467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3047A828" w:rsidR="00E83FAA" w:rsidRPr="00007E98" w:rsidRDefault="00E52168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70 %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E52168"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to’lanadi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2958EC27" w14:textId="77777777" w:rsidR="00E83FAA" w:rsidRPr="000D1DAB" w:rsidRDefault="00E83FA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  <w:p w14:paraId="3CB0D26D" w14:textId="68E00989" w:rsidR="00E83FAA" w:rsidRPr="000D1DAB" w:rsidRDefault="00E83FA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AQSH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</w:p>
        </w:tc>
      </w:tr>
      <w:tr w:rsidR="00353FC0" w:rsidRPr="00A64467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452F0C88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2358B4D7" w:rsidR="00965E76" w:rsidRPr="001D6276" w:rsidRDefault="001D6276" w:rsidP="001002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6276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Pr="001D627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="00E52168">
              <w:rPr>
                <w:rFonts w:ascii="Times New Roman" w:hAnsi="Times New Roman" w:cs="Times New Roman"/>
                <w:bCs/>
                <w:lang w:val="en-US"/>
              </w:rPr>
              <w:t>ko‘</w:t>
            </w:r>
            <w:proofErr w:type="gramEnd"/>
            <w:r w:rsidR="00E52168">
              <w:rPr>
                <w:rFonts w:ascii="Times New Roman" w:hAnsi="Times New Roman" w:cs="Times New Roman"/>
                <w:bCs/>
                <w:lang w:val="en-US"/>
              </w:rPr>
              <w:t>rsatish</w:t>
            </w:r>
            <w:proofErr w:type="spellEnd"/>
            <w:r w:rsid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52168">
              <w:rPr>
                <w:rFonts w:ascii="Times New Roman" w:hAnsi="Times New Roman" w:cs="Times New Roman"/>
                <w:bCs/>
                <w:lang w:val="en-US"/>
              </w:rPr>
              <w:t>muddati</w:t>
            </w:r>
            <w:proofErr w:type="spellEnd"/>
            <w:r w:rsidR="00E52168">
              <w:rPr>
                <w:rFonts w:ascii="Times New Roman" w:hAnsi="Times New Roman" w:cs="Times New Roman"/>
                <w:bCs/>
                <w:lang w:val="en-US"/>
              </w:rPr>
              <w:t xml:space="preserve"> 60</w:t>
            </w:r>
            <w:r w:rsidRPr="001D627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52168">
              <w:rPr>
                <w:rFonts w:ascii="Times New Roman" w:hAnsi="Times New Roman" w:cs="Times New Roman"/>
                <w:bCs/>
                <w:lang w:val="en-US"/>
              </w:rPr>
              <w:t>kalendar</w:t>
            </w:r>
            <w:proofErr w:type="spellEnd"/>
            <w:r w:rsid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E52168"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</w:p>
        </w:tc>
      </w:tr>
      <w:tr w:rsidR="000C05E9" w:rsidRPr="00A64467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6EED417" w:rsidR="000C05E9" w:rsidRPr="000C05E9" w:rsidRDefault="000C05E9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Xizmatlar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0C05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ko‘rsati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020CDA7B" w:rsidR="000C05E9" w:rsidRPr="00691676" w:rsidRDefault="000C05E9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sho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, 101-uy</w:t>
            </w:r>
          </w:p>
        </w:tc>
      </w:tr>
      <w:tr w:rsidR="00353FC0" w:rsidRPr="00ED40CB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A64467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ED40CB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D74402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128C08A1" w14:textId="77777777" w:rsidTr="00D74402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4F78D17F" w:rsidR="00E83FAA" w:rsidRPr="009A7790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</w:rPr>
              <w:t>T</w:t>
            </w:r>
            <w:proofErr w:type="spellStart"/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predmeti</w:t>
            </w:r>
            <w:proofErr w:type="spellEnd"/>
            <w:r w:rsidR="00965E76" w:rsidRPr="00965E76">
              <w:rPr>
                <w:rFonts w:ascii="Times New Roman" w:hAnsi="Times New Roman" w:cs="Times New Roman"/>
              </w:rPr>
              <w:t xml:space="preserve">: </w:t>
            </w:r>
            <w:r w:rsidR="00E52168" w:rsidRPr="00CE1BB0">
              <w:rPr>
                <w:rFonts w:ascii="Times New Roman" w:hAnsi="Times New Roman" w:cs="Times New Roman"/>
              </w:rPr>
              <w:t>“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O‘zbekiston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Respublikasi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Tashqi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iqtisodiy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faoliyat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milliy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banki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uchun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RI</w:t>
            </w:r>
            <w:r w:rsidR="00F574E3">
              <w:rPr>
                <w:rFonts w:ascii="Times New Roman" w:hAnsi="Times New Roman" w:cs="Times New Roman"/>
                <w:lang w:val="en-US"/>
              </w:rPr>
              <w:t>P</w:t>
            </w:r>
            <w:r w:rsidR="00E52168" w:rsidRPr="00CE1BB0">
              <w:rPr>
                <w:rFonts w:ascii="Times New Roman" w:hAnsi="Times New Roman" w:cs="Times New Roman"/>
              </w:rPr>
              <w:t xml:space="preserve">E NCC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bazasida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provayderga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bog‘liq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bo‘lmagan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IP-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manzil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maydoni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(IPv4/24)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va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avtonom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tizimni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(AS)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ro‘yxatdan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o‘tkazish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qayta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ro‘yxatdan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o‘tkazish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xizmatlarini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xarid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168" w:rsidRPr="00CE1BB0">
              <w:rPr>
                <w:rFonts w:ascii="Times New Roman" w:hAnsi="Times New Roman" w:cs="Times New Roman"/>
              </w:rPr>
              <w:t>qilish</w:t>
            </w:r>
            <w:proofErr w:type="spellEnd"/>
            <w:r w:rsidR="00E52168" w:rsidRPr="00CE1BB0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D40CB" w14:paraId="0C82BA9A" w14:textId="77777777" w:rsidTr="00D74402">
        <w:tc>
          <w:tcPr>
            <w:tcW w:w="567" w:type="dxa"/>
            <w:shd w:val="clear" w:color="auto" w:fill="auto"/>
          </w:tcPr>
          <w:p w14:paraId="2133CE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640C5B3D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D62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D627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64467" w14:paraId="63526F44" w14:textId="77777777" w:rsidTr="00D74402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1EC491A6" w:rsidR="00D34CB7" w:rsidRPr="00D34CB7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D6276">
              <w:rPr>
                <w:rFonts w:ascii="Times New Roman" w:hAnsi="Times New Roman" w:cs="Times New Roman"/>
                <w:lang w:val="en-US"/>
              </w:rPr>
              <w:t>2</w:t>
            </w:r>
            <w:r w:rsidR="00E52168">
              <w:rPr>
                <w:rFonts w:ascii="Times New Roman" w:hAnsi="Times New Roman" w:cs="Times New Roman"/>
                <w:lang w:val="en-US"/>
              </w:rPr>
              <w:t>5</w:t>
            </w:r>
            <w:r w:rsidR="001D6276">
              <w:rPr>
                <w:rFonts w:ascii="Times New Roman" w:hAnsi="Times New Roman" w:cs="Times New Roman"/>
                <w:lang w:val="en-US"/>
              </w:rPr>
              <w:t> </w:t>
            </w:r>
            <w:r w:rsidR="00E52168">
              <w:rPr>
                <w:rFonts w:ascii="Times New Roman" w:hAnsi="Times New Roman" w:cs="Times New Roman"/>
                <w:lang w:val="en-US"/>
              </w:rPr>
              <w:t>6</w:t>
            </w:r>
            <w:r w:rsidR="001D6276" w:rsidRPr="009818DE">
              <w:rPr>
                <w:rFonts w:ascii="Times New Roman" w:hAnsi="Times New Roman" w:cs="Times New Roman"/>
                <w:lang w:val="en-US"/>
              </w:rPr>
              <w:t>00</w:t>
            </w:r>
            <w:r w:rsidRPr="00D34CB7">
              <w:rPr>
                <w:rFonts w:ascii="Times New Roman" w:hAnsi="Times New Roman" w:cs="Times New Roman"/>
                <w:lang w:val="en-US"/>
              </w:rPr>
              <w:t>,00 (</w:t>
            </w:r>
            <w:proofErr w:type="spellStart"/>
            <w:r w:rsidR="00E52168">
              <w:rPr>
                <w:rFonts w:ascii="Times New Roman" w:hAnsi="Times New Roman" w:cs="Times New Roman"/>
                <w:lang w:val="en-US"/>
              </w:rPr>
              <w:t>yigirma</w:t>
            </w:r>
            <w:proofErr w:type="spellEnd"/>
            <w:r w:rsidR="00E521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2168">
              <w:rPr>
                <w:rFonts w:ascii="Times New Roman" w:hAnsi="Times New Roman" w:cs="Times New Roman"/>
                <w:lang w:val="en-US"/>
              </w:rPr>
              <w:t>besh</w:t>
            </w:r>
            <w:proofErr w:type="spellEnd"/>
            <w:r w:rsidR="00965E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="00E521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2168">
              <w:rPr>
                <w:rFonts w:ascii="Times New Roman" w:hAnsi="Times New Roman" w:cs="Times New Roman"/>
                <w:lang w:val="en-US"/>
              </w:rPr>
              <w:t>olti</w:t>
            </w:r>
            <w:proofErr w:type="spellEnd"/>
            <w:r w:rsidR="00E5216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52168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E52168">
              <w:rPr>
                <w:rFonts w:ascii="Times New Roman" w:hAnsi="Times New Roman" w:cs="Times New Roman"/>
                <w:lang w:val="en-US"/>
              </w:rPr>
              <w:t xml:space="preserve">AQSH </w:t>
            </w:r>
            <w:proofErr w:type="spellStart"/>
            <w:r w:rsidR="00E52168"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</w:t>
            </w:r>
            <w:r w:rsidR="00E52168">
              <w:rPr>
                <w:rFonts w:ascii="Times New Roman" w:hAnsi="Times New Roman" w:cs="Times New Roman"/>
                <w:lang w:val="en-US"/>
              </w:rPr>
              <w:t>ma</w:t>
            </w:r>
            <w:r w:rsidRPr="00D34CB7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D40CB" w14:paraId="55CEAED1" w14:textId="77777777" w:rsidTr="00D74402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64467" w14:paraId="450F7E17" w14:textId="77777777" w:rsidTr="00D74402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A64467" w14:paraId="58643595" w14:textId="77777777" w:rsidTr="00D74402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A64467" w14:paraId="3162DB53" w14:textId="77777777" w:rsidTr="00D74402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A64467" w14:paraId="6658C316" w14:textId="77777777" w:rsidTr="00D74402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A64467" w14:paraId="33C61D4C" w14:textId="77777777" w:rsidTr="00D74402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ED40CB" w14:paraId="6FC58B08" w14:textId="77777777" w:rsidTr="00D74402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D74402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D40CB" w14:paraId="7D61A3E2" w14:textId="77777777" w:rsidTr="00D74402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4C0301D3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AJ.</w:t>
            </w:r>
          </w:p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A64467" w14:paraId="6370DF23" w14:textId="77777777" w:rsidTr="00D74402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A64467" w14:paraId="373C328A" w14:textId="77777777" w:rsidTr="00D74402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056EE96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xt-xarid.uz.</w:t>
            </w:r>
          </w:p>
        </w:tc>
      </w:tr>
      <w:tr w:rsidR="00E83FAA" w:rsidRPr="00A64467" w14:paraId="27DDBD91" w14:textId="77777777" w:rsidTr="00D74402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D74402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D74402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A64467" w14:paraId="1245B841" w14:textId="77777777" w:rsidTr="00D74402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D74402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D74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D74402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D74402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D74402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D744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D74402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D74402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D74402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D74402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D74402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D74402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D744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D74402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D74402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D74402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64467" w14:paraId="25FFD490" w14:textId="77777777" w:rsidTr="00D74402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D74402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D74402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64467" w14:paraId="4DADB83D" w14:textId="77777777" w:rsidTr="00D74402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xt-xarid.uz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D40CB" w14:paraId="1D6C4E18" w14:textId="77777777" w:rsidTr="00D74402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A64467" w14:paraId="2BCDB391" w14:textId="77777777" w:rsidTr="00D74402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D74402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64467" w14:paraId="1606F84C" w14:textId="77777777" w:rsidTr="00D74402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A64467" w14:paraId="4E6D3E11" w14:textId="77777777" w:rsidTr="00D74402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D74402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A64467" w14:paraId="040465C2" w14:textId="77777777" w:rsidTr="00D74402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D74402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A64467" w14:paraId="75C76A91" w14:textId="77777777" w:rsidTr="00D74402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DF05C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DF05C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DF05C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DF05C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DF05C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DF05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DF05C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DF05C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D74402">
        <w:tc>
          <w:tcPr>
            <w:tcW w:w="567" w:type="dxa"/>
            <w:shd w:val="clear" w:color="auto" w:fill="auto"/>
          </w:tcPr>
          <w:p w14:paraId="7E5042CB" w14:textId="77777777" w:rsidR="00E83FAA" w:rsidRPr="00DF05C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DF05C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D74402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D74402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D74402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D74402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64467" w14:paraId="6EA01EE3" w14:textId="77777777" w:rsidTr="00D74402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64467" w14:paraId="6E04DB0B" w14:textId="77777777" w:rsidTr="00D74402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D74402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D74402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64467" w14:paraId="401094D3" w14:textId="77777777" w:rsidTr="00D74402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D74402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64467" w14:paraId="5F489AD6" w14:textId="77777777" w:rsidTr="00D74402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D40CB" w14:paraId="2467F437" w14:textId="77777777" w:rsidTr="00D74402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64467" w14:paraId="0D9308F6" w14:textId="77777777" w:rsidTr="00D74402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D74402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D74402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A64467" w14:paraId="0F9C9754" w14:textId="77777777" w:rsidTr="00D74402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D74402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D74402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D74402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A64467" w14:paraId="4047E0EB" w14:textId="77777777" w:rsidTr="00D74402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2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585"/>
        <w:gridCol w:w="2577"/>
        <w:gridCol w:w="2435"/>
      </w:tblGrid>
      <w:tr w:rsidR="00193EF6" w:rsidRPr="000D1DAB" w14:paraId="0E48A363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A64467" w14:paraId="2EF14BA2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A64467" w14:paraId="3C66D20E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A64467" w14:paraId="4A68C03C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1D6276">
        <w:trPr>
          <w:trHeight w:val="75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A64467" w14:paraId="7B233F32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A64467" w14:paraId="0F8D0791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1D6276">
        <w:trPr>
          <w:trHeight w:val="60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A64467" w14:paraId="5E56E893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1D627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1D6276">
        <w:trPr>
          <w:trHeight w:val="113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1D6276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</w:rPr>
      </w:pPr>
      <w:r w:rsidRPr="001D6276">
        <w:rPr>
          <w:rFonts w:ascii="Times New Roman" w:eastAsia="Malgun Gothic" w:hAnsi="Times New Roman" w:cs="Times New Roman"/>
          <w:i/>
          <w:sz w:val="28"/>
          <w:szCs w:val="28"/>
        </w:rPr>
        <w:t xml:space="preserve"> </w:t>
      </w:r>
      <w:r w:rsidR="00596CFC" w:rsidRPr="001D6276">
        <w:rPr>
          <w:rFonts w:ascii="Times New Roman" w:eastAsia="Malgun Gothic" w:hAnsi="Times New Roman" w:cs="Times New Roman"/>
          <w:i/>
          <w:sz w:val="28"/>
          <w:szCs w:val="28"/>
        </w:rPr>
        <w:br w:type="page"/>
      </w:r>
    </w:p>
    <w:p w14:paraId="5597B4A0" w14:textId="77777777" w:rsidR="00F6722E" w:rsidRPr="001D6276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</w:rPr>
      </w:pPr>
      <w:r w:rsidRPr="001D6276">
        <w:rPr>
          <w:rFonts w:ascii="Times New Roman" w:eastAsia="Malgun Gothic" w:hAnsi="Times New Roman" w:cs="Times New Roman"/>
          <w:i/>
          <w:sz w:val="28"/>
        </w:rPr>
        <w:lastRenderedPageBreak/>
        <w:t>1-</w:t>
      </w:r>
      <w:proofErr w:type="spellStart"/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shakl</w:t>
      </w:r>
      <w:proofErr w:type="spellEnd"/>
    </w:p>
    <w:p w14:paraId="24C3ACA6" w14:textId="37F95171" w:rsidR="00F6722E" w:rsidRPr="001D6276" w:rsidRDefault="00F6722E" w:rsidP="00F6722E">
      <w:pPr>
        <w:jc w:val="right"/>
        <w:rPr>
          <w:rFonts w:ascii="Times New Roman" w:hAnsi="Times New Roman" w:cs="Times New Roman"/>
          <w:i/>
        </w:rPr>
      </w:pPr>
      <w:r w:rsidRPr="001D6276">
        <w:rPr>
          <w:rFonts w:ascii="Times New Roman" w:hAnsi="Times New Roman" w:cs="Times New Roman"/>
          <w:i/>
        </w:rPr>
        <w:t xml:space="preserve"> </w:t>
      </w:r>
    </w:p>
    <w:p w14:paraId="01C3309A" w14:textId="77777777" w:rsidR="00F6722E" w:rsidRPr="001D6276" w:rsidRDefault="00F6722E" w:rsidP="00F6722E">
      <w:pPr>
        <w:jc w:val="center"/>
        <w:rPr>
          <w:rFonts w:ascii="Times New Roman" w:hAnsi="Times New Roman" w:cs="Times New Roman"/>
          <w:i/>
        </w:rPr>
      </w:pPr>
    </w:p>
    <w:p w14:paraId="1553C505" w14:textId="221D1B01" w:rsidR="00F6722E" w:rsidRPr="001D6276" w:rsidRDefault="00F6722E" w:rsidP="00F6722E">
      <w:pPr>
        <w:jc w:val="center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  <w:lang w:val="en-US"/>
        </w:rPr>
        <w:t>ISHTIROKCHINING</w:t>
      </w:r>
      <w:r w:rsidRPr="001D6276">
        <w:rPr>
          <w:rFonts w:ascii="Times New Roman" w:hAnsi="Times New Roman" w:cs="Times New Roman"/>
          <w:i/>
        </w:rPr>
        <w:t xml:space="preserve"> </w:t>
      </w:r>
      <w:r w:rsidRPr="000D1DAB">
        <w:rPr>
          <w:rFonts w:ascii="Times New Roman" w:hAnsi="Times New Roman" w:cs="Times New Roman"/>
          <w:i/>
          <w:lang w:val="en-US"/>
        </w:rPr>
        <w:t>FIRMA</w:t>
      </w:r>
      <w:r w:rsidRPr="001D6276">
        <w:rPr>
          <w:rFonts w:ascii="Times New Roman" w:hAnsi="Times New Roman" w:cs="Times New Roman"/>
          <w:i/>
        </w:rPr>
        <w:t xml:space="preserve"> </w:t>
      </w:r>
      <w:r w:rsidRPr="000D1DAB">
        <w:rPr>
          <w:rFonts w:ascii="Times New Roman" w:hAnsi="Times New Roman" w:cs="Times New Roman"/>
          <w:i/>
          <w:lang w:val="en-US"/>
        </w:rPr>
        <w:t>BLANKIDA</w:t>
      </w:r>
    </w:p>
    <w:p w14:paraId="49BA1A52" w14:textId="77777777" w:rsidR="00F6722E" w:rsidRPr="001D6276" w:rsidRDefault="00F6722E" w:rsidP="00F6722E">
      <w:pPr>
        <w:rPr>
          <w:rFonts w:ascii="Times New Roman" w:hAnsi="Times New Roman" w:cs="Times New Roman"/>
          <w:i/>
        </w:rPr>
      </w:pPr>
      <w:r w:rsidRPr="001D6276">
        <w:rPr>
          <w:rFonts w:ascii="Times New Roman" w:hAnsi="Times New Roman" w:cs="Times New Roman"/>
          <w:i/>
        </w:rPr>
        <w:t>№:___________</w:t>
      </w:r>
    </w:p>
    <w:p w14:paraId="03909CE6" w14:textId="5711F597" w:rsidR="00F6722E" w:rsidRPr="001D6276" w:rsidRDefault="00F6722E" w:rsidP="00F6722E">
      <w:pPr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  <w:lang w:val="en-US"/>
        </w:rPr>
        <w:t>Sana</w:t>
      </w:r>
      <w:r w:rsidRPr="001D6276">
        <w:rPr>
          <w:rFonts w:ascii="Times New Roman" w:hAnsi="Times New Roman" w:cs="Times New Roman"/>
          <w:i/>
        </w:rPr>
        <w:t>: _______</w:t>
      </w:r>
    </w:p>
    <w:p w14:paraId="5DDFE69D" w14:textId="77777777" w:rsidR="00F6722E" w:rsidRPr="001D6276" w:rsidRDefault="00F6722E" w:rsidP="00F6722E">
      <w:pPr>
        <w:rPr>
          <w:rFonts w:ascii="Times New Roman" w:hAnsi="Times New Roman" w:cs="Times New Roman"/>
        </w:rPr>
      </w:pPr>
    </w:p>
    <w:p w14:paraId="5523D901" w14:textId="3B9EF2AF" w:rsidR="00F6722E" w:rsidRPr="001D6276" w:rsidRDefault="00F6722E" w:rsidP="00F6722E">
      <w:pPr>
        <w:jc w:val="right"/>
        <w:rPr>
          <w:rFonts w:ascii="Times New Roman" w:hAnsi="Times New Roman" w:cs="Times New Roman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1D6276">
        <w:rPr>
          <w:rFonts w:ascii="Times New Roman" w:eastAsia="Times New Roman" w:hAnsi="Times New Roman" w:cs="Times New Roman"/>
          <w:b/>
          <w:bCs/>
          <w:color w:val="auto"/>
          <w:spacing w:val="-5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1D6276" w:rsidRDefault="00F6722E" w:rsidP="00F6722E">
      <w:pPr>
        <w:jc w:val="center"/>
        <w:rPr>
          <w:rFonts w:ascii="Times New Roman" w:hAnsi="Times New Roman" w:cs="Times New Roman"/>
          <w:b/>
        </w:rPr>
      </w:pPr>
      <w:bookmarkStart w:id="2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2C095074" w:rsidR="00F6722E" w:rsidRPr="001D6276" w:rsidRDefault="00ED2B98" w:rsidP="00F6722E">
      <w:pPr>
        <w:ind w:firstLine="540"/>
        <w:jc w:val="both"/>
        <w:rPr>
          <w:rFonts w:ascii="Times New Roman" w:hAnsi="Times New Roman" w:cs="Times New Roman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1D6276">
        <w:rPr>
          <w:rFonts w:ascii="Times New Roman" w:hAnsi="Times New Roman" w:cs="Times New Roman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1D6276">
        <w:rPr>
          <w:rFonts w:ascii="Times New Roman" w:hAnsi="Times New Roman" w:cs="Times New Roman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1D6276">
        <w:rPr>
          <w:rFonts w:ascii="Times New Roman" w:hAnsi="Times New Roman" w:cs="Times New Roman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</w:t>
      </w:r>
      <w:proofErr w:type="spellEnd"/>
      <w:r w:rsidRPr="001D6276">
        <w:rPr>
          <w:rFonts w:ascii="Times New Roman" w:hAnsi="Times New Roman" w:cs="Times New Roman"/>
        </w:rPr>
        <w:t>‘</w:t>
      </w:r>
      <w:proofErr w:type="spellStart"/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r w:rsidRPr="001D6276">
        <w:rPr>
          <w:rFonts w:ascii="Times New Roman" w:hAnsi="Times New Roman" w:cs="Times New Roman"/>
          <w:i/>
          <w:iCs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ko</w:t>
      </w:r>
      <w:r w:rsidRPr="001D6276">
        <w:rPr>
          <w:rFonts w:ascii="Times New Roman" w:hAnsi="Times New Roman" w:cs="Times New Roman"/>
          <w:i/>
          <w:iCs/>
        </w:rPr>
        <w:t>‘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rsatiladi</w:t>
      </w:r>
      <w:proofErr w:type="spellEnd"/>
      <w:r w:rsidRPr="001D6276">
        <w:rPr>
          <w:rFonts w:ascii="Times New Roman" w:hAnsi="Times New Roman" w:cs="Times New Roman"/>
          <w:i/>
          <w:iCs/>
        </w:rPr>
        <w:t>)</w:t>
      </w:r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xizmatlarni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qilish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r w:rsidRPr="00ED2B98">
        <w:rPr>
          <w:rFonts w:ascii="Times New Roman" w:hAnsi="Times New Roman" w:cs="Times New Roman"/>
          <w:lang w:val="en-US"/>
        </w:rPr>
        <w:t>o</w:t>
      </w:r>
      <w:r w:rsidRPr="001D6276">
        <w:rPr>
          <w:rFonts w:ascii="Times New Roman" w:hAnsi="Times New Roman" w:cs="Times New Roman"/>
        </w:rPr>
        <w:t>‘</w:t>
      </w:r>
      <w:proofErr w:type="spellStart"/>
      <w:r w:rsidRPr="00ED2B98">
        <w:rPr>
          <w:rFonts w:ascii="Times New Roman" w:hAnsi="Times New Roman" w:cs="Times New Roman"/>
          <w:lang w:val="en-US"/>
        </w:rPr>
        <w:t>rganib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1D6276">
        <w:rPr>
          <w:rFonts w:ascii="Times New Roman" w:hAnsi="Times New Roman" w:cs="Times New Roman"/>
        </w:rPr>
        <w:t xml:space="preserve">, </w:t>
      </w:r>
      <w:r w:rsidRPr="00ED2B98">
        <w:rPr>
          <w:rFonts w:ascii="Times New Roman" w:hAnsi="Times New Roman" w:cs="Times New Roman"/>
          <w:lang w:val="en-US"/>
        </w:rPr>
        <w:t>biz</w:t>
      </w:r>
      <w:r w:rsidRPr="001D6276">
        <w:rPr>
          <w:rFonts w:ascii="Times New Roman" w:hAnsi="Times New Roman" w:cs="Times New Roman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r w:rsidRPr="001D6276">
        <w:rPr>
          <w:rFonts w:ascii="Times New Roman" w:hAnsi="Times New Roman" w:cs="Times New Roman"/>
          <w:i/>
          <w:iCs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1D627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1D6276">
        <w:rPr>
          <w:rFonts w:ascii="Times New Roman" w:hAnsi="Times New Roman" w:cs="Times New Roman"/>
          <w:i/>
          <w:iCs/>
        </w:rPr>
        <w:t>)</w:t>
      </w:r>
      <w:r w:rsidRPr="001D6276">
        <w:rPr>
          <w:rFonts w:ascii="Times New Roman" w:hAnsi="Times New Roman" w:cs="Times New Roman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="00A404CF">
        <w:rPr>
          <w:rFonts w:ascii="Times New Roman" w:hAnsi="Times New Roman" w:cs="Times New Roman"/>
          <w:lang w:val="en-US"/>
        </w:rPr>
        <w:t>xizmatlar</w:t>
      </w:r>
      <w:r w:rsidR="001D6276">
        <w:rPr>
          <w:rFonts w:ascii="Times New Roman" w:hAnsi="Times New Roman" w:cs="Times New Roman"/>
          <w:lang w:val="en-US"/>
        </w:rPr>
        <w:t>n</w:t>
      </w:r>
      <w:r w:rsidR="00A404CF">
        <w:rPr>
          <w:rFonts w:ascii="Times New Roman" w:hAnsi="Times New Roman" w:cs="Times New Roman"/>
          <w:lang w:val="en-US"/>
        </w:rPr>
        <w:t>i</w:t>
      </w:r>
      <w:proofErr w:type="spellEnd"/>
      <w:r w:rsidR="001D6276" w:rsidRPr="001D6276">
        <w:rPr>
          <w:rFonts w:ascii="Times New Roman" w:hAnsi="Times New Roman" w:cs="Times New Roman"/>
        </w:rPr>
        <w:t xml:space="preserve"> </w:t>
      </w:r>
      <w:r w:rsidR="001D6276">
        <w:rPr>
          <w:rFonts w:ascii="Times New Roman" w:hAnsi="Times New Roman" w:cs="Times New Roman"/>
          <w:lang w:val="en-US"/>
        </w:rPr>
        <w:t>ko</w:t>
      </w:r>
      <w:r w:rsidR="001D6276" w:rsidRPr="001D6276">
        <w:rPr>
          <w:rFonts w:ascii="Times New Roman" w:hAnsi="Times New Roman" w:cs="Times New Roman"/>
        </w:rPr>
        <w:t>‘</w:t>
      </w:r>
      <w:proofErr w:type="spellStart"/>
      <w:r w:rsidR="001D6276">
        <w:rPr>
          <w:rFonts w:ascii="Times New Roman" w:hAnsi="Times New Roman" w:cs="Times New Roman"/>
          <w:lang w:val="en-US"/>
        </w:rPr>
        <w:t>rsatish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bo</w:t>
      </w:r>
      <w:proofErr w:type="spellEnd"/>
      <w:r w:rsidRPr="001D6276">
        <w:rPr>
          <w:rFonts w:ascii="Times New Roman" w:hAnsi="Times New Roman" w:cs="Times New Roman"/>
        </w:rPr>
        <w:t>‘</w:t>
      </w:r>
      <w:proofErr w:type="spellStart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1D6276">
        <w:rPr>
          <w:rFonts w:ascii="Times New Roman" w:hAnsi="Times New Roman" w:cs="Times New Roman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1D6276">
        <w:rPr>
          <w:rFonts w:ascii="Times New Roman" w:hAnsi="Times New Roman" w:cs="Times New Roman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ED40CB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(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tasdiqlovchi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maʼlumotlarlarni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ilova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qilish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zarur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i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xizmat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1A1E77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576FD2D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DF05C4">
        <w:rPr>
          <w:rFonts w:ascii="Times New Roman" w:eastAsia="Malgun Gothic" w:hAnsi="Times New Roman" w:cs="Times New Roman"/>
          <w:lang w:val="en-US"/>
        </w:rPr>
        <w:t>6</w:t>
      </w:r>
      <w:r w:rsidRPr="000D1DAB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1230737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3B9EE41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0AEBCE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0CC09AD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5443C8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3A5340D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A64467" w14:paraId="24669FCF" w14:textId="77777777" w:rsidTr="001D627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D627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D627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64467" w14:paraId="65999ED5" w14:textId="77777777" w:rsidTr="001D627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A64467" w14:paraId="78E08DAB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A64467" w14:paraId="1490BF43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D627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64467" w14:paraId="5C9FE88F" w14:textId="77777777" w:rsidTr="001D627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2CFE3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29010A9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344355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DF05C4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A64467" w14:paraId="03773898" w14:textId="77777777" w:rsidTr="001D627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D627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D627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1D62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1D6276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1D62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1D6276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1D627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02C05272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77777777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74977D1C" w14:textId="763C590D" w:rsidR="00E52168" w:rsidRDefault="00EE7EBB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1002ED">
        <w:rPr>
          <w:rFonts w:ascii="Times New Roman" w:eastAsia="Malgun Gothic" w:hAnsi="Times New Roman" w:cs="Times New Roman"/>
          <w:lang w:val="en-US"/>
        </w:rPr>
        <w:t xml:space="preserve">1.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RIPE NCC da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akkreditatsiyadan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E52168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E52168">
        <w:rPr>
          <w:rFonts w:ascii="Times New Roman" w:eastAsia="Malgun Gothic" w:hAnsi="Times New Roman" w:cs="Times New Roman"/>
          <w:lang w:val="en-US"/>
        </w:rPr>
        <w:t>tgan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LIR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maqomiga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>.</w:t>
      </w:r>
    </w:p>
    <w:p w14:paraId="717DC2AE" w14:textId="5E8A066E" w:rsidR="00E52168" w:rsidRDefault="00EE7EBB" w:rsidP="00A404CF">
      <w:pPr>
        <w:spacing w:after="0"/>
        <w:ind w:firstLine="539"/>
        <w:jc w:val="both"/>
        <w:rPr>
          <w:rFonts w:ascii="Times New Roman" w:hAnsi="Times New Roman"/>
          <w:lang w:val="uz-Latn-UZ"/>
        </w:rPr>
      </w:pPr>
      <w:r w:rsidRPr="001002ED">
        <w:rPr>
          <w:rFonts w:ascii="Times New Roman" w:eastAsia="Malgun Gothic" w:hAnsi="Times New Roman" w:cs="Times New Roman"/>
          <w:lang w:val="en-US"/>
        </w:rPr>
        <w:t xml:space="preserve">2.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Ijrochi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RIPE NCC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b</w:t>
      </w:r>
      <w:r w:rsidR="004B4293">
        <w:rPr>
          <w:rFonts w:ascii="Times New Roman" w:eastAsia="Malgun Gothic" w:hAnsi="Times New Roman" w:cs="Times New Roman"/>
          <w:lang w:val="en-US"/>
        </w:rPr>
        <w:t>ilan</w:t>
      </w:r>
      <w:proofErr w:type="spellEnd"/>
      <w:r w:rsidR="004B429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B4293">
        <w:rPr>
          <w:rFonts w:ascii="Times New Roman" w:eastAsia="Malgun Gothic" w:hAnsi="Times New Roman" w:cs="Times New Roman"/>
          <w:lang w:val="en-US"/>
        </w:rPr>
        <w:t>amaldagi</w:t>
      </w:r>
      <w:proofErr w:type="spellEnd"/>
      <w:r w:rsidR="004B429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B4293">
        <w:rPr>
          <w:rFonts w:ascii="Times New Roman" w:eastAsia="Malgun Gothic" w:hAnsi="Times New Roman" w:cs="Times New Roman"/>
          <w:lang w:val="en-US"/>
        </w:rPr>
        <w:t>shartnomaga</w:t>
      </w:r>
      <w:proofErr w:type="spellEnd"/>
      <w:r w:rsidR="004B429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B429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4B429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E52168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="00E52168">
        <w:rPr>
          <w:rFonts w:ascii="Times New Roman" w:eastAsia="Malgun Gothic" w:hAnsi="Times New Roman" w:cs="Times New Roman"/>
          <w:lang w:val="en-US"/>
        </w:rPr>
        <w:t>lishi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52168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E52168">
        <w:rPr>
          <w:rFonts w:ascii="Times New Roman" w:eastAsia="Malgun Gothic" w:hAnsi="Times New Roman" w:cs="Times New Roman"/>
          <w:lang w:val="en-US"/>
        </w:rPr>
        <w:t>.</w:t>
      </w:r>
    </w:p>
    <w:p w14:paraId="1910566C" w14:textId="77777777" w:rsidR="004B4293" w:rsidRDefault="00E52168" w:rsidP="00A404CF">
      <w:pPr>
        <w:spacing w:after="0"/>
        <w:ind w:firstLine="539"/>
        <w:jc w:val="both"/>
        <w:rPr>
          <w:rFonts w:ascii="Times New Roman" w:hAnsi="Times New Roman"/>
          <w:lang w:val="uz-Latn-UZ"/>
        </w:rPr>
      </w:pPr>
      <w:r>
        <w:rPr>
          <w:rFonts w:ascii="Times New Roman" w:eastAsia="Malgun Gothic" w:hAnsi="Times New Roman" w:cs="Times New Roman"/>
          <w:lang w:val="uz-Latn-UZ"/>
        </w:rPr>
        <w:t xml:space="preserve">3. </w:t>
      </w:r>
      <w:r w:rsidRPr="001D6276">
        <w:rPr>
          <w:rFonts w:ascii="Times New Roman" w:hAnsi="Times New Roman"/>
          <w:lang w:val="uz-Latn-UZ"/>
        </w:rPr>
        <w:t xml:space="preserve">Ijrochi kamida </w:t>
      </w:r>
      <w:r w:rsidR="004B4293">
        <w:rPr>
          <w:rFonts w:ascii="Times New Roman" w:hAnsi="Times New Roman"/>
          <w:lang w:val="uz-Latn-UZ"/>
        </w:rPr>
        <w:t>1</w:t>
      </w:r>
      <w:r w:rsidRPr="001D6276">
        <w:rPr>
          <w:rFonts w:ascii="Times New Roman" w:hAnsi="Times New Roman"/>
          <w:lang w:val="uz-Latn-UZ"/>
        </w:rPr>
        <w:t xml:space="preserve"> yil tajribaga ega bo‘lishi lozim</w:t>
      </w:r>
      <w:r w:rsidR="004B4293">
        <w:rPr>
          <w:rFonts w:ascii="Times New Roman" w:hAnsi="Times New Roman"/>
          <w:lang w:val="uz-Latn-UZ"/>
        </w:rPr>
        <w:t>:</w:t>
      </w:r>
    </w:p>
    <w:p w14:paraId="7454CD11" w14:textId="7AA3532D" w:rsidR="00E52168" w:rsidRDefault="004B4293" w:rsidP="00A404CF">
      <w:pPr>
        <w:spacing w:after="0"/>
        <w:ind w:firstLine="539"/>
        <w:jc w:val="both"/>
        <w:rPr>
          <w:rFonts w:ascii="Times New Roman" w:hAnsi="Times New Roman"/>
          <w:lang w:val="uz-Latn-UZ"/>
        </w:rPr>
      </w:pPr>
      <w:r>
        <w:rPr>
          <w:rFonts w:ascii="Times New Roman" w:hAnsi="Times New Roman"/>
          <w:lang w:val="uz-Latn-UZ"/>
        </w:rPr>
        <w:t xml:space="preserve"> - Ipv4 bloklarini ro‘yxatdan o‘tkazish;</w:t>
      </w:r>
    </w:p>
    <w:p w14:paraId="66BAEEC4" w14:textId="65419934" w:rsidR="004B4293" w:rsidRDefault="004B4293" w:rsidP="00A404CF">
      <w:pPr>
        <w:spacing w:after="0"/>
        <w:ind w:firstLine="539"/>
        <w:jc w:val="both"/>
        <w:rPr>
          <w:rFonts w:ascii="Times New Roman" w:hAnsi="Times New Roman"/>
          <w:lang w:val="uz-Latn-UZ"/>
        </w:rPr>
      </w:pPr>
      <w:r>
        <w:rPr>
          <w:rFonts w:ascii="Times New Roman" w:hAnsi="Times New Roman"/>
          <w:lang w:val="uz-Latn-UZ"/>
        </w:rPr>
        <w:t xml:space="preserve"> - AS ro‘yxatdan o‘tkazish;</w:t>
      </w:r>
    </w:p>
    <w:p w14:paraId="209F5BC0" w14:textId="5765F6E6" w:rsidR="004B4293" w:rsidRDefault="004B4293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uz-Latn-UZ"/>
        </w:rPr>
      </w:pPr>
      <w:r>
        <w:rPr>
          <w:rFonts w:ascii="Times New Roman" w:hAnsi="Times New Roman"/>
          <w:lang w:val="uz-Latn-UZ"/>
        </w:rPr>
        <w:t xml:space="preserve"> - </w:t>
      </w:r>
      <w:r w:rsidRPr="004B4293">
        <w:rPr>
          <w:rFonts w:ascii="Times New Roman" w:eastAsia="Malgun Gothic" w:hAnsi="Times New Roman" w:cs="Times New Roman"/>
          <w:lang w:val="uz-Latn-UZ"/>
        </w:rPr>
        <w:t>RIPE NCC bilan ishlash</w:t>
      </w:r>
      <w:r>
        <w:rPr>
          <w:rFonts w:ascii="Times New Roman" w:eastAsia="Malgun Gothic" w:hAnsi="Times New Roman" w:cs="Times New Roman"/>
          <w:lang w:val="uz-Latn-UZ"/>
        </w:rPr>
        <w:t>.</w:t>
      </w:r>
    </w:p>
    <w:p w14:paraId="7DBDB7B5" w14:textId="4BCD25D3" w:rsidR="004B4293" w:rsidRPr="004B4293" w:rsidRDefault="004B4293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uz-Latn-UZ"/>
        </w:rPr>
      </w:pPr>
      <w:r>
        <w:rPr>
          <w:rFonts w:ascii="Times New Roman" w:eastAsia="Malgun Gothic" w:hAnsi="Times New Roman" w:cs="Times New Roman"/>
          <w:lang w:val="uz-Latn-UZ"/>
        </w:rPr>
        <w:t>4. Texnik va maslahat yordamini ko‘rsatish shart.</w:t>
      </w:r>
    </w:p>
    <w:p w14:paraId="2322B6AB" w14:textId="3B59FBBF" w:rsidR="00A404CF" w:rsidRPr="00E52168" w:rsidRDefault="004B4293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uz-Latn-UZ"/>
        </w:rPr>
      </w:pPr>
      <w:r>
        <w:rPr>
          <w:rFonts w:ascii="Times New Roman" w:eastAsia="Malgun Gothic" w:hAnsi="Times New Roman" w:cs="Times New Roman"/>
          <w:lang w:val="uz-Latn-UZ"/>
        </w:rPr>
        <w:t>5</w:t>
      </w:r>
      <w:r w:rsidR="00A404CF" w:rsidRPr="00E52168">
        <w:rPr>
          <w:rFonts w:ascii="Times New Roman" w:eastAsia="Malgun Gothic" w:hAnsi="Times New Roman" w:cs="Times New Roman"/>
          <w:lang w:val="uz-Latn-UZ"/>
        </w:rPr>
        <w:t>.</w:t>
      </w:r>
      <w:r>
        <w:rPr>
          <w:rFonts w:ascii="Times New Roman" w:eastAsia="Malgun Gothic" w:hAnsi="Times New Roman" w:cs="Times New Roman"/>
          <w:lang w:val="uz-Latn-UZ"/>
        </w:rPr>
        <w:t xml:space="preserve"> Ijrochi xizmatlarni belgilangan muddatda bajarishni kafolatlashi lozim.</w:t>
      </w:r>
      <w:r w:rsidR="00E3127A" w:rsidRPr="00E52168">
        <w:rPr>
          <w:rFonts w:ascii="Times New Roman" w:eastAsia="Malgun Gothic" w:hAnsi="Times New Roman" w:cs="Times New Roman"/>
          <w:lang w:val="uz-Latn-UZ"/>
        </w:rPr>
        <w:t xml:space="preserve">  </w:t>
      </w:r>
    </w:p>
    <w:p w14:paraId="3DA2A436" w14:textId="77777777" w:rsidR="00A1768B" w:rsidRPr="00E52168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uz-Latn-UZ"/>
        </w:rPr>
      </w:pPr>
    </w:p>
    <w:p w14:paraId="27ABBA08" w14:textId="77777777" w:rsidR="00DA2C30" w:rsidRPr="00E52168" w:rsidRDefault="00DA2C30" w:rsidP="00596CFC">
      <w:pPr>
        <w:rPr>
          <w:rFonts w:ascii="Times New Roman" w:eastAsia="Malgun Gothic" w:hAnsi="Times New Roman" w:cs="Times New Roman"/>
          <w:lang w:val="uz-Latn-UZ"/>
        </w:rPr>
      </w:pPr>
    </w:p>
    <w:p w14:paraId="50FE0FB8" w14:textId="0D739F1C" w:rsidR="00596CFC" w:rsidRPr="00ED40C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uz-Latn-UZ"/>
        </w:rPr>
      </w:pPr>
      <w:r w:rsidRPr="00ED40CB">
        <w:rPr>
          <w:rFonts w:ascii="Times New Roman" w:eastAsia="Malgun Gothic" w:hAnsi="Times New Roman" w:cs="Times New Roman"/>
          <w:lang w:val="uz-Latn-UZ"/>
        </w:rPr>
        <w:t>(vakolatli shaxsning imzosi)</w:t>
      </w:r>
    </w:p>
    <w:p w14:paraId="3DADEF7E" w14:textId="77777777" w:rsidR="00596CFC" w:rsidRPr="00ED40C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  <w:r w:rsidRPr="00ED40CB">
        <w:rPr>
          <w:rFonts w:ascii="Times New Roman" w:eastAsia="Malgun Gothic" w:hAnsi="Times New Roman" w:cs="Times New Roman"/>
          <w:lang w:val="uz-Latn-UZ"/>
        </w:rPr>
        <w:t>______________________________________________________________</w:t>
      </w:r>
    </w:p>
    <w:p w14:paraId="54C992F5" w14:textId="77777777" w:rsidR="00596CFC" w:rsidRPr="00ED40C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  <w:r w:rsidRPr="00ED40CB">
        <w:rPr>
          <w:rFonts w:ascii="Times New Roman" w:eastAsia="Malgun Gothic" w:hAnsi="Times New Roman" w:cs="Times New Roman"/>
          <w:lang w:val="uz-Latn-UZ"/>
        </w:rPr>
        <w:t xml:space="preserve">Ishlab chiqaruvchining rahbari va vakolatli shaxsining F.I.O. va mansabi </w:t>
      </w:r>
    </w:p>
    <w:p w14:paraId="5417A735" w14:textId="77777777" w:rsidR="00596CFC" w:rsidRPr="00ED40C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uz-Latn-UZ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024"/>
        <w:gridCol w:w="1279"/>
        <w:gridCol w:w="2206"/>
        <w:gridCol w:w="2350"/>
      </w:tblGrid>
      <w:tr w:rsidR="00647072" w:rsidRPr="000D1DAB" w14:paraId="0D321BAC" w14:textId="77777777" w:rsidTr="001002ED">
        <w:tc>
          <w:tcPr>
            <w:tcW w:w="213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4" w:type="pct"/>
          </w:tcPr>
          <w:p w14:paraId="1FD4B8F2" w14:textId="7F80CBE6" w:rsidR="00647072" w:rsidRPr="000D1DAB" w:rsidRDefault="00E03454" w:rsidP="00647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21" w:type="pct"/>
          </w:tcPr>
          <w:p w14:paraId="3EC7E831" w14:textId="657411F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071" w:type="pct"/>
          </w:tcPr>
          <w:p w14:paraId="16237632" w14:textId="29B3418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1141" w:type="pct"/>
          </w:tcPr>
          <w:p w14:paraId="697A2032" w14:textId="60EBFB7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0D1DAB" w14:paraId="0E4F5A05" w14:textId="77777777" w:rsidTr="001002ED">
        <w:tc>
          <w:tcPr>
            <w:tcW w:w="213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21" w:type="pct"/>
          </w:tcPr>
          <w:p w14:paraId="389FFC23" w14:textId="6CE9FB9F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6C98A227" w14:textId="6D657C2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1002ED">
        <w:tc>
          <w:tcPr>
            <w:tcW w:w="213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21" w:type="pct"/>
            <w:vMerge w:val="restart"/>
            <w:vAlign w:val="center"/>
          </w:tcPr>
          <w:p w14:paraId="2B64140F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pct"/>
            <w:vMerge w:val="restart"/>
            <w:vAlign w:val="center"/>
          </w:tcPr>
          <w:p w14:paraId="30C9F51E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1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A64467" w14:paraId="700B0672" w14:textId="77777777" w:rsidTr="001002ED">
        <w:tc>
          <w:tcPr>
            <w:tcW w:w="213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21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1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1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1002ED">
        <w:tc>
          <w:tcPr>
            <w:tcW w:w="213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21" w:type="pct"/>
          </w:tcPr>
          <w:p w14:paraId="09D74836" w14:textId="0DCCCF9E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22F9E7DB" w14:textId="34D931C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1002ED">
        <w:tc>
          <w:tcPr>
            <w:tcW w:w="213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21" w:type="pct"/>
          </w:tcPr>
          <w:p w14:paraId="33AC6E42" w14:textId="5B71911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790EAE6B" w14:textId="31BB6DF8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1002ED">
        <w:trPr>
          <w:trHeight w:val="600"/>
        </w:trPr>
        <w:tc>
          <w:tcPr>
            <w:tcW w:w="213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21" w:type="pct"/>
          </w:tcPr>
          <w:p w14:paraId="2EEF7861" w14:textId="2A38961C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071" w:type="pct"/>
          </w:tcPr>
          <w:p w14:paraId="33E9DF0E" w14:textId="686A1250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41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59FF61A8" w14:textId="11F8DB5B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  <w:r w:rsidRPr="000D1DAB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0D1DAB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5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823"/>
        <w:gridCol w:w="1839"/>
        <w:gridCol w:w="3528"/>
      </w:tblGrid>
      <w:tr w:rsidR="00647072" w:rsidRPr="000D1DAB" w14:paraId="17BC231F" w14:textId="77777777" w:rsidTr="000C05E9">
        <w:tc>
          <w:tcPr>
            <w:tcW w:w="206" w:type="pct"/>
            <w:vAlign w:val="center"/>
          </w:tcPr>
          <w:p w14:paraId="652B1876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pct"/>
          </w:tcPr>
          <w:p w14:paraId="41564B0C" w14:textId="543332D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865" w:type="pct"/>
          </w:tcPr>
          <w:p w14:paraId="2689DF95" w14:textId="1EF3B6C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660" w:type="pct"/>
            <w:vAlign w:val="center"/>
          </w:tcPr>
          <w:p w14:paraId="125310E7" w14:textId="64FD2D89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E03454" w14:paraId="4BA6B95D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279C0E64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pct"/>
          </w:tcPr>
          <w:p w14:paraId="28E0D9A9" w14:textId="64462126" w:rsidR="00647072" w:rsidRPr="000D1DAB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865" w:type="pct"/>
            <w:vAlign w:val="center"/>
          </w:tcPr>
          <w:p w14:paraId="550AFF3C" w14:textId="7AFC88E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4CBEB807" w14:textId="65135324" w:rsidR="00647072" w:rsidRPr="009818DE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ED40CB" w14:paraId="7B92DBC6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5621EFF0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pct"/>
          </w:tcPr>
          <w:p w14:paraId="6EFEAB24" w14:textId="6D71F52D" w:rsidR="00647072" w:rsidRPr="004B4293" w:rsidRDefault="004B4293" w:rsidP="00A1768B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RIPE NCC da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akkreditatsiyadan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tgan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LIR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maqomiga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865" w:type="pct"/>
            <w:vAlign w:val="center"/>
          </w:tcPr>
          <w:p w14:paraId="3AF885EE" w14:textId="2F79819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4F293995" w14:textId="3D0AF0CF" w:rsidR="00647072" w:rsidRPr="000D1DAB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647072" w:rsidRPr="00ED40CB" w14:paraId="4A727878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4C06222E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pct"/>
            <w:vAlign w:val="center"/>
          </w:tcPr>
          <w:p w14:paraId="225A243E" w14:textId="19D120A7" w:rsidR="00647072" w:rsidRPr="00047806" w:rsidRDefault="004B4293" w:rsidP="000C05E9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Ijrochi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 xml:space="preserve"> RIPE NCC </w:t>
            </w:r>
            <w:proofErr w:type="spell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bilan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amaldagi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shartnomaga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bo‘</w:t>
            </w:r>
            <w:proofErr w:type="gramEnd"/>
            <w:r w:rsidRPr="004B4293">
              <w:rPr>
                <w:rFonts w:ascii="Times New Roman" w:eastAsia="Malgun Gothic" w:hAnsi="Times New Roman" w:cs="Times New Roman"/>
                <w:lang w:val="en-US"/>
              </w:rPr>
              <w:t>lishi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4B4293"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 w:rsidRPr="004B4293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865" w:type="pct"/>
            <w:vAlign w:val="center"/>
          </w:tcPr>
          <w:p w14:paraId="772D16B7" w14:textId="72A51209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1895EB59" w14:textId="0DFB8304" w:rsidR="00647072" w:rsidRPr="000D1DAB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A404CF" w:rsidRPr="00ED40CB" w14:paraId="46561F99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7EE99C03" w14:textId="7106FA29" w:rsidR="00A404CF" w:rsidRPr="00A404CF" w:rsidRDefault="00A404CF" w:rsidP="00A404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269" w:type="pct"/>
            <w:vAlign w:val="center"/>
          </w:tcPr>
          <w:p w14:paraId="70F5CC53" w14:textId="77777777" w:rsidR="004B4293" w:rsidRDefault="004B4293" w:rsidP="004B4293">
            <w:pPr>
              <w:spacing w:after="0"/>
              <w:jc w:val="both"/>
              <w:rPr>
                <w:rFonts w:ascii="Times New Roman" w:hAnsi="Times New Roman"/>
                <w:lang w:val="uz-Latn-UZ"/>
              </w:rPr>
            </w:pPr>
            <w:r w:rsidRPr="001D6276">
              <w:rPr>
                <w:rFonts w:ascii="Times New Roman" w:hAnsi="Times New Roman"/>
                <w:lang w:val="uz-Latn-UZ"/>
              </w:rPr>
              <w:t xml:space="preserve">Ijrochi kamida </w:t>
            </w:r>
            <w:r>
              <w:rPr>
                <w:rFonts w:ascii="Times New Roman" w:hAnsi="Times New Roman"/>
                <w:lang w:val="uz-Latn-UZ"/>
              </w:rPr>
              <w:t>1</w:t>
            </w:r>
            <w:r w:rsidRPr="001D6276">
              <w:rPr>
                <w:rFonts w:ascii="Times New Roman" w:hAnsi="Times New Roman"/>
                <w:lang w:val="uz-Latn-UZ"/>
              </w:rPr>
              <w:t xml:space="preserve"> yil tajribaga ega bo‘lishi lozim</w:t>
            </w:r>
            <w:r>
              <w:rPr>
                <w:rFonts w:ascii="Times New Roman" w:hAnsi="Times New Roman"/>
                <w:lang w:val="uz-Latn-UZ"/>
              </w:rPr>
              <w:t>:</w:t>
            </w:r>
          </w:p>
          <w:p w14:paraId="20AC74AE" w14:textId="77777777" w:rsidR="004B4293" w:rsidRDefault="004B4293" w:rsidP="004B4293">
            <w:pPr>
              <w:spacing w:after="0"/>
              <w:ind w:firstLine="164"/>
              <w:jc w:val="both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  <w:lang w:val="uz-Latn-UZ"/>
              </w:rPr>
              <w:t xml:space="preserve"> - Ipv4 bloklarini ro‘yxatdan o‘tkazish;</w:t>
            </w:r>
          </w:p>
          <w:p w14:paraId="1304F9AD" w14:textId="77777777" w:rsidR="004B4293" w:rsidRDefault="004B4293" w:rsidP="004B4293">
            <w:pPr>
              <w:spacing w:after="0"/>
              <w:ind w:firstLine="164"/>
              <w:jc w:val="both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hAnsi="Times New Roman"/>
                <w:lang w:val="uz-Latn-UZ"/>
              </w:rPr>
              <w:t xml:space="preserve"> - AS ro‘yxatdan o‘tkazish;</w:t>
            </w:r>
          </w:p>
          <w:p w14:paraId="40EB19BF" w14:textId="77777777" w:rsidR="004B4293" w:rsidRDefault="004B4293" w:rsidP="004B4293">
            <w:pPr>
              <w:spacing w:after="0"/>
              <w:ind w:firstLine="164"/>
              <w:jc w:val="both"/>
              <w:rPr>
                <w:rFonts w:ascii="Times New Roman" w:eastAsia="Malgun Gothic" w:hAnsi="Times New Roman" w:cs="Times New Roman"/>
                <w:lang w:val="uz-Latn-UZ"/>
              </w:rPr>
            </w:pPr>
            <w:r>
              <w:rPr>
                <w:rFonts w:ascii="Times New Roman" w:hAnsi="Times New Roman"/>
                <w:lang w:val="uz-Latn-UZ"/>
              </w:rPr>
              <w:t xml:space="preserve"> - </w:t>
            </w:r>
            <w:r w:rsidRPr="004B4293">
              <w:rPr>
                <w:rFonts w:ascii="Times New Roman" w:eastAsia="Malgun Gothic" w:hAnsi="Times New Roman" w:cs="Times New Roman"/>
                <w:lang w:val="uz-Latn-UZ"/>
              </w:rPr>
              <w:t>RIPE NCC bilan ishlash</w:t>
            </w:r>
            <w:r>
              <w:rPr>
                <w:rFonts w:ascii="Times New Roman" w:eastAsia="Malgun Gothic" w:hAnsi="Times New Roman" w:cs="Times New Roman"/>
                <w:lang w:val="uz-Latn-UZ"/>
              </w:rPr>
              <w:t>.</w:t>
            </w:r>
          </w:p>
          <w:p w14:paraId="6313158D" w14:textId="09392965" w:rsidR="00A404CF" w:rsidRDefault="00A404CF" w:rsidP="00A404CF">
            <w:pPr>
              <w:spacing w:after="0"/>
              <w:ind w:firstLine="23"/>
              <w:jc w:val="both"/>
              <w:rPr>
                <w:rFonts w:ascii="Times New Roman" w:hAnsi="Times New Roman"/>
                <w:lang w:val="uz-Latn-UZ"/>
              </w:rPr>
            </w:pPr>
          </w:p>
        </w:tc>
        <w:tc>
          <w:tcPr>
            <w:tcW w:w="865" w:type="pct"/>
            <w:vAlign w:val="center"/>
          </w:tcPr>
          <w:p w14:paraId="6E2EA2CD" w14:textId="4B8B81B1" w:rsidR="00A404CF" w:rsidRPr="00A404CF" w:rsidRDefault="00A404CF" w:rsidP="00A404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0E2897D9" w14:textId="41FB2DEE" w:rsidR="00A404CF" w:rsidRPr="00C64998" w:rsidRDefault="00A404CF" w:rsidP="00A404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4B4293" w:rsidRPr="00ED40CB" w14:paraId="37BB9669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0DAF9F73" w14:textId="39A74998" w:rsidR="004B4293" w:rsidRDefault="004B4293" w:rsidP="004B42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9" w:type="pct"/>
            <w:vAlign w:val="center"/>
          </w:tcPr>
          <w:p w14:paraId="2584C0DE" w14:textId="5EDC2CC7" w:rsidR="004B4293" w:rsidRPr="001D6276" w:rsidRDefault="004B4293" w:rsidP="004B4293">
            <w:pPr>
              <w:spacing w:after="0"/>
              <w:jc w:val="both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eastAsia="Malgun Gothic" w:hAnsi="Times New Roman" w:cs="Times New Roman"/>
                <w:lang w:val="uz-Latn-UZ"/>
              </w:rPr>
              <w:t>Texnik va maslahat yordamini ko‘rsatish shart.</w:t>
            </w:r>
          </w:p>
        </w:tc>
        <w:tc>
          <w:tcPr>
            <w:tcW w:w="865" w:type="pct"/>
            <w:vAlign w:val="center"/>
          </w:tcPr>
          <w:p w14:paraId="70E7C010" w14:textId="2C50116F" w:rsidR="004B4293" w:rsidRPr="004B4293" w:rsidRDefault="004B4293" w:rsidP="004B42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05C02798" w14:textId="16B9A858" w:rsidR="004B4293" w:rsidRPr="00C64998" w:rsidRDefault="004B4293" w:rsidP="004B4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4B4293" w:rsidRPr="00ED40CB" w14:paraId="421EFB9B" w14:textId="77777777" w:rsidTr="000C05E9">
        <w:trPr>
          <w:trHeight w:val="887"/>
        </w:trPr>
        <w:tc>
          <w:tcPr>
            <w:tcW w:w="206" w:type="pct"/>
            <w:vAlign w:val="center"/>
          </w:tcPr>
          <w:p w14:paraId="6341C1E1" w14:textId="61BF0F5A" w:rsidR="004B4293" w:rsidRDefault="004B4293" w:rsidP="004B42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69" w:type="pct"/>
            <w:vAlign w:val="center"/>
          </w:tcPr>
          <w:p w14:paraId="6CB7B71E" w14:textId="13FAD806" w:rsidR="004B4293" w:rsidRPr="001D6276" w:rsidRDefault="004B4293" w:rsidP="004B4293">
            <w:pPr>
              <w:spacing w:after="0"/>
              <w:jc w:val="both"/>
              <w:rPr>
                <w:rFonts w:ascii="Times New Roman" w:hAnsi="Times New Roman"/>
                <w:lang w:val="uz-Latn-UZ"/>
              </w:rPr>
            </w:pPr>
            <w:r>
              <w:rPr>
                <w:rFonts w:ascii="Times New Roman" w:eastAsia="Malgun Gothic" w:hAnsi="Times New Roman" w:cs="Times New Roman"/>
                <w:lang w:val="uz-Latn-UZ"/>
              </w:rPr>
              <w:t>Ijrochi xizmatlarni belgilangan muddatda bajarishni kafolatlashi lozim.</w:t>
            </w:r>
          </w:p>
        </w:tc>
        <w:tc>
          <w:tcPr>
            <w:tcW w:w="865" w:type="pct"/>
            <w:vAlign w:val="center"/>
          </w:tcPr>
          <w:p w14:paraId="5EF8E6B1" w14:textId="6B7BE35A" w:rsidR="004B4293" w:rsidRPr="004B4293" w:rsidRDefault="004B4293" w:rsidP="004B42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660" w:type="pct"/>
            <w:vAlign w:val="center"/>
          </w:tcPr>
          <w:p w14:paraId="0DB70A9E" w14:textId="0ACDD40F" w:rsidR="004B4293" w:rsidRPr="00C64998" w:rsidRDefault="004B4293" w:rsidP="004B42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0D1DAB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6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A64467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0D1DAB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0D1DAB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6" w:type="pct"/>
            <w:vAlign w:val="center"/>
          </w:tcPr>
          <w:p w14:paraId="53EA849D" w14:textId="281DC3B8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lastRenderedPageBreak/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0C05E9" w:rsidRPr="00A64467" w14:paraId="70E155D2" w14:textId="77777777" w:rsidTr="000C05E9">
        <w:trPr>
          <w:trHeight w:val="359"/>
        </w:trPr>
        <w:tc>
          <w:tcPr>
            <w:tcW w:w="3998" w:type="dxa"/>
            <w:vAlign w:val="center"/>
          </w:tcPr>
          <w:p w14:paraId="363FC0D1" w14:textId="77777777" w:rsidR="000C05E9" w:rsidRPr="000D1DAB" w:rsidRDefault="000C05E9" w:rsidP="005232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</w:tcPr>
          <w:p w14:paraId="46D4E851" w14:textId="07E53E61" w:rsidR="000C05E9" w:rsidRPr="00CD5C36" w:rsidRDefault="000C05E9" w:rsidP="0052328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D5C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CD5C36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CD5C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5C36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CD5C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D5C36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E52168" w:rsidRPr="00ED40CB" w14:paraId="28A0D29D" w14:textId="77777777" w:rsidTr="00CD5C36">
        <w:trPr>
          <w:trHeight w:val="662"/>
        </w:trPr>
        <w:tc>
          <w:tcPr>
            <w:tcW w:w="3998" w:type="dxa"/>
            <w:vAlign w:val="center"/>
          </w:tcPr>
          <w:p w14:paraId="0FA656CC" w14:textId="3D7ACED0" w:rsidR="00E52168" w:rsidRPr="000D1DAB" w:rsidRDefault="00E52168" w:rsidP="00E52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5C2F98CE" w:rsidR="00E52168" w:rsidRPr="000D1DAB" w:rsidRDefault="00E52168" w:rsidP="00E5216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25 6</w:t>
            </w:r>
            <w:r w:rsidRPr="009818DE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  <w:lang w:val="en-US"/>
              </w:rPr>
              <w:t xml:space="preserve"> AQSH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</w:t>
            </w:r>
            <w:r>
              <w:rPr>
                <w:rFonts w:ascii="Times New Roman" w:hAnsi="Times New Roman" w:cs="Times New Roman"/>
                <w:lang w:val="en-US"/>
              </w:rPr>
              <w:t>ma</w:t>
            </w:r>
            <w:r w:rsidRPr="00D34CB7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52168" w:rsidRPr="00A64467" w14:paraId="0A85992D" w14:textId="77777777" w:rsidTr="00325C59">
        <w:trPr>
          <w:trHeight w:val="359"/>
        </w:trPr>
        <w:tc>
          <w:tcPr>
            <w:tcW w:w="3998" w:type="dxa"/>
            <w:vAlign w:val="center"/>
          </w:tcPr>
          <w:p w14:paraId="3CBC8DCD" w14:textId="17A45761" w:rsidR="00E52168" w:rsidRPr="000D1DAB" w:rsidRDefault="00E52168" w:rsidP="00E52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63DACF6C" w:rsidR="00E52168" w:rsidRPr="00CF009E" w:rsidRDefault="00E52168" w:rsidP="00E52168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70 %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E52168"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52168">
              <w:rPr>
                <w:rFonts w:ascii="Times New Roman" w:hAnsi="Times New Roman" w:cs="Times New Roman"/>
                <w:bCs/>
                <w:lang w:val="en-US"/>
              </w:rPr>
              <w:t>to’lanadi</w:t>
            </w:r>
            <w:proofErr w:type="spellEnd"/>
            <w:r w:rsidRPr="00E52168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CD5C36" w:rsidRPr="000D1DAB" w14:paraId="20027C32" w14:textId="77777777" w:rsidTr="000C05E9">
        <w:trPr>
          <w:trHeight w:val="359"/>
        </w:trPr>
        <w:tc>
          <w:tcPr>
            <w:tcW w:w="3998" w:type="dxa"/>
            <w:vAlign w:val="center"/>
          </w:tcPr>
          <w:p w14:paraId="4252034D" w14:textId="16109DF6" w:rsidR="00CD5C36" w:rsidRPr="000D1DAB" w:rsidRDefault="00CD5C36" w:rsidP="00CD5C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145164D0" w14:textId="77777777" w:rsidR="00CD5C36" w:rsidRPr="000D1DAB" w:rsidRDefault="00CD5C36" w:rsidP="00CD5C3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  <w:p w14:paraId="6EC53EAE" w14:textId="11953823" w:rsidR="00CD5C36" w:rsidRPr="000D1DAB" w:rsidRDefault="00CD5C36" w:rsidP="00CD5C3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Norezidentlar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AQSH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dollari</w:t>
            </w:r>
            <w:proofErr w:type="spellEnd"/>
          </w:p>
        </w:tc>
      </w:tr>
      <w:tr w:rsidR="00E52168" w:rsidRPr="00A64467" w14:paraId="5077457B" w14:textId="77777777" w:rsidTr="000C05E9">
        <w:trPr>
          <w:trHeight w:val="42"/>
        </w:trPr>
        <w:tc>
          <w:tcPr>
            <w:tcW w:w="3998" w:type="dxa"/>
            <w:vAlign w:val="center"/>
          </w:tcPr>
          <w:p w14:paraId="1A633BB2" w14:textId="5BD2224A" w:rsidR="00E52168" w:rsidRPr="000D1DAB" w:rsidRDefault="00E52168" w:rsidP="00E521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5978A11E" w:rsidR="00E52168" w:rsidRPr="00691676" w:rsidRDefault="00E52168" w:rsidP="00E521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D6276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Pr="001D627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ko‘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rsatish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muddati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60</w:t>
            </w:r>
            <w:r w:rsidRPr="001D627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kalendar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</w:p>
        </w:tc>
      </w:tr>
      <w:tr w:rsidR="00CD5C36" w:rsidRPr="00A64467" w14:paraId="49DC1428" w14:textId="77777777" w:rsidTr="000C05E9">
        <w:trPr>
          <w:trHeight w:val="42"/>
        </w:trPr>
        <w:tc>
          <w:tcPr>
            <w:tcW w:w="3998" w:type="dxa"/>
            <w:vAlign w:val="center"/>
          </w:tcPr>
          <w:p w14:paraId="0AB16A9C" w14:textId="4D1757F7" w:rsidR="00CD5C36" w:rsidRPr="000C05E9" w:rsidRDefault="00CD5C36" w:rsidP="00CD5C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Xizmatlar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ni</w:t>
            </w:r>
            <w:proofErr w:type="spellEnd"/>
            <w:r w:rsidRPr="000C05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05E9">
              <w:rPr>
                <w:rFonts w:ascii="Times New Roman" w:hAnsi="Times New Roman" w:cs="Times New Roman"/>
                <w:b/>
                <w:bCs/>
              </w:rPr>
              <w:t>ko‘rsati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0FDB5C5C" w:rsidR="00CD5C36" w:rsidRPr="00691676" w:rsidRDefault="00CD5C36" w:rsidP="00CD5C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sho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, 101-uy</w:t>
            </w:r>
          </w:p>
        </w:tc>
      </w:tr>
      <w:tr w:rsidR="000C05E9" w:rsidRPr="00ED40CB" w14:paraId="5B71D4BA" w14:textId="77777777" w:rsidTr="000C05E9">
        <w:trPr>
          <w:trHeight w:val="154"/>
        </w:trPr>
        <w:tc>
          <w:tcPr>
            <w:tcW w:w="3998" w:type="dxa"/>
            <w:vAlign w:val="center"/>
          </w:tcPr>
          <w:p w14:paraId="1AFE1973" w14:textId="77777777" w:rsidR="000C05E9" w:rsidRPr="000D1DAB" w:rsidRDefault="000C05E9" w:rsidP="005232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77777777" w:rsidR="000C05E9" w:rsidRPr="000D1DAB" w:rsidRDefault="000C05E9" w:rsidP="0052328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DF05C4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651018FE" w:rsidR="00A577A9" w:rsidRPr="00CF009E" w:rsidRDefault="00CD5C36" w:rsidP="00CD5C3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F009E">
        <w:rPr>
          <w:rFonts w:ascii="Times New Roman" w:hAnsi="Times New Roman" w:cs="Times New Roman"/>
          <w:b/>
          <w:bCs/>
          <w:sz w:val="24"/>
          <w:szCs w:val="24"/>
          <w:lang w:val="en-GB"/>
        </w:rPr>
        <w:t>Shartnoma</w:t>
      </w:r>
      <w:proofErr w:type="spellEnd"/>
      <w:r w:rsidR="00CF009E" w:rsidRPr="00CF009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009E" w:rsidRPr="00CF009E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№</w:t>
      </w:r>
    </w:p>
    <w:p w14:paraId="6D568C32" w14:textId="685F6817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0B5CB9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3A18FCA" w14:textId="383C7E30" w:rsidR="007052CF" w:rsidRDefault="00CF009E" w:rsidP="0070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aksiyadorlik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jamiyati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bundan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buyon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 deb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yuritiladi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ishonchnoma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№ ___________ ___ ._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.202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 y.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asosida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ish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yurituvchi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nomidan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tomondan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bundan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buyon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yuritiladi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Ustav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asosida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yurituvchi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_____________________________________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nomidan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ikkinchi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birgalikda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Tomonlar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atalib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uchun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RI</w:t>
      </w:r>
      <w:r w:rsidR="00F574E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</w:t>
      </w:r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E NCC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bazasida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provayderga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bog‘liq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bo‘lmagan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IP-manzil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maydoni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(IPv4/24)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avtonom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tizimni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(AS)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ro‘yxatdan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o‘tkazish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(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qayta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ro‘yxatdan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o‘tkazish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)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xizmatlarini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xarid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bo‘yicha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tashkilotni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tanlash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2026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yildagi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xarid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komissiyasi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yig‘ilishining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№ ______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bayonnomasiga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asoslanib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shartnomani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>
        <w:rPr>
          <w:rFonts w:ascii="Times New Roman" w:eastAsia="Times New Roman" w:hAnsi="Times New Roman" w:cs="Times New Roman"/>
          <w:color w:val="auto"/>
          <w:lang w:val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quyidagilar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tuzdilar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>:</w:t>
      </w:r>
    </w:p>
    <w:p w14:paraId="2801915B" w14:textId="77777777" w:rsidR="00CF009E" w:rsidRPr="00CD5C36" w:rsidRDefault="00CF009E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7FFBF86E" w14:textId="013308B3" w:rsidR="00CD5C36" w:rsidRPr="00CD5C36" w:rsidRDefault="00CD5C36" w:rsidP="00705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GB"/>
        </w:rPr>
      </w:pPr>
      <w:r w:rsidRPr="00CD5C36">
        <w:rPr>
          <w:rFonts w:ascii="Times New Roman" w:hAnsi="Times New Roman" w:cs="Times New Roman"/>
          <w:b/>
          <w:bCs/>
          <w:lang w:val="en-GB"/>
        </w:rPr>
        <w:t xml:space="preserve">1. </w:t>
      </w:r>
      <w:proofErr w:type="spellStart"/>
      <w:r w:rsidR="00F57AA3" w:rsidRPr="00CD5C36">
        <w:rPr>
          <w:rFonts w:ascii="Times New Roman" w:hAnsi="Times New Roman" w:cs="Times New Roman"/>
          <w:b/>
          <w:bCs/>
          <w:lang w:val="en-GB"/>
        </w:rPr>
        <w:t>Shartnoma</w:t>
      </w:r>
      <w:proofErr w:type="spellEnd"/>
      <w:r w:rsidR="00F57AA3" w:rsidRPr="00CD5C36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F57AA3" w:rsidRPr="00CD5C36">
        <w:rPr>
          <w:rFonts w:ascii="Times New Roman" w:hAnsi="Times New Roman" w:cs="Times New Roman"/>
          <w:b/>
          <w:bCs/>
          <w:lang w:val="en-GB"/>
        </w:rPr>
        <w:t>predmeti</w:t>
      </w:r>
      <w:proofErr w:type="spellEnd"/>
    </w:p>
    <w:p w14:paraId="2FF69EB3" w14:textId="3B055F4E" w:rsidR="00CF009E" w:rsidRDefault="00CF009E" w:rsidP="00CF00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r>
        <w:rPr>
          <w:rFonts w:ascii="Times New Roman" w:eastAsia="Times New Roman" w:hAnsi="Times New Roman" w:cs="Times New Roman"/>
          <w:color w:val="auto"/>
          <w:lang w:val="en-GB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» «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GB"/>
        </w:rPr>
        <w:t>topshirig‘</w:t>
      </w:r>
      <w:proofErr w:type="gramEnd"/>
      <w:r>
        <w:rPr>
          <w:rFonts w:ascii="Times New Roman" w:eastAsia="Times New Roman" w:hAnsi="Times New Roman" w:cs="Times New Roman"/>
          <w:color w:val="auto"/>
          <w:lang w:val="en-GB"/>
        </w:rPr>
        <w:t>iga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asosan</w:t>
      </w:r>
      <w:proofErr w:type="spellEnd"/>
      <w:r w:rsidRPr="00CF009E">
        <w:rPr>
          <w:rFonts w:ascii="Times New Roman" w:eastAsia="Times New Roman" w:hAnsi="Times New Roman" w:cs="Times New Roman"/>
          <w:color w:val="auto"/>
          <w:lang w:val="en-GB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uchun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RI</w:t>
      </w:r>
      <w:r w:rsidR="00F574E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</w:t>
      </w:r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E NCC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bazasida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provayderga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bog‘liq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bo‘lmagan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IP-manzil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maydoni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(IPv4/24)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avtonom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tizimni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(AS)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ro‘yxatdan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o‘tkazish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(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qayta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ro‘yxatdan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o‘tkazish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) </w:t>
      </w:r>
      <w:proofErr w:type="spellStart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xizmatlarini</w:t>
      </w:r>
      <w:proofErr w:type="spellEnd"/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C54EC">
        <w:rPr>
          <w:rFonts w:ascii="Times New Roman" w:eastAsia="Times New Roman" w:hAnsi="Times New Roman" w:cs="Times New Roman"/>
          <w:b/>
          <w:bCs/>
          <w:color w:val="auto"/>
          <w:lang w:val="en-GB"/>
        </w:rPr>
        <w:t>ko‘rsatish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oladi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GB"/>
        </w:rPr>
        <w:t>Obyekt</w:t>
      </w:r>
      <w:proofErr w:type="spellEnd"/>
      <w:r>
        <w:rPr>
          <w:rFonts w:ascii="Times New Roman" w:eastAsia="Times New Roman" w:hAnsi="Times New Roman" w:cs="Times New Roman"/>
          <w:color w:val="auto"/>
          <w:lang w:val="en-GB"/>
        </w:rPr>
        <w:t>)</w:t>
      </w:r>
    </w:p>
    <w:p w14:paraId="0076A361" w14:textId="118B8193" w:rsidR="00CD5C36" w:rsidRPr="00CF009E" w:rsidRDefault="00CD5C36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D287B88" w14:textId="77777777" w:rsidR="007052CF" w:rsidRPr="00CD5C36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1EFDBF15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narxi</w:t>
      </w:r>
      <w:proofErr w:type="spellEnd"/>
    </w:p>
    <w:p w14:paraId="0798476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qiymati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yiliga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_______________ (__________________)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so‘mni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QQSni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(%),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olmasdan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4E5B61" w14:textId="38FEE336" w:rsidR="007052CF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2.2.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Shartnoma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imzolangan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kundan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boshlab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10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ish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kuni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ichida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30 %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oldindan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to’lov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amalga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oshiriladi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.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Qolgan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70 %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qismi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bajarilgan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ishlar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="002C54EC" w:rsidRPr="00E52168">
        <w:rPr>
          <w:rFonts w:ascii="Times New Roman" w:hAnsi="Times New Roman" w:cs="Times New Roman"/>
          <w:bCs/>
          <w:lang w:val="en-US"/>
        </w:rPr>
        <w:t>to‘</w:t>
      </w:r>
      <w:proofErr w:type="gramEnd"/>
      <w:r w:rsidR="002C54EC" w:rsidRPr="00E52168">
        <w:rPr>
          <w:rFonts w:ascii="Times New Roman" w:hAnsi="Times New Roman" w:cs="Times New Roman"/>
          <w:bCs/>
          <w:lang w:val="en-US"/>
        </w:rPr>
        <w:t>g‘risdagi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dalolatnoma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imzolangan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kundan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boshlab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10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ish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kuni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ichida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C54EC" w:rsidRPr="00E52168">
        <w:rPr>
          <w:rFonts w:ascii="Times New Roman" w:hAnsi="Times New Roman" w:cs="Times New Roman"/>
          <w:bCs/>
          <w:lang w:val="en-US"/>
        </w:rPr>
        <w:t>to’lanadi</w:t>
      </w:r>
      <w:proofErr w:type="spellEnd"/>
      <w:r w:rsidR="002C54EC" w:rsidRPr="00E52168">
        <w:rPr>
          <w:rFonts w:ascii="Times New Roman" w:hAnsi="Times New Roman" w:cs="Times New Roman"/>
          <w:bCs/>
          <w:lang w:val="en-US"/>
        </w:rPr>
        <w:t>.</w:t>
      </w:r>
    </w:p>
    <w:p w14:paraId="1B1AE4E0" w14:textId="77777777" w:rsidR="00F57AA3" w:rsidRPr="00CD5C36" w:rsidRDefault="00F57AA3" w:rsidP="00F57A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64CE691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</w:p>
    <w:p w14:paraId="6F36018B" w14:textId="77777777" w:rsidR="00F57AA3" w:rsidRDefault="00F57AA3" w:rsidP="00F57AA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Ijrochining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05E62C8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sifat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yuqori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professional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darajada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471AC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4DAEEB4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oid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maxfiyligini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E0441E4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3.1.4.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4607AC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3.1.5.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45311E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3.1.6.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rovlar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telefon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liniyasi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1E30DE2" w14:textId="77777777" w:rsidR="00F57AA3" w:rsidRDefault="00F57AA3" w:rsidP="00F57AA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1E9862B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lovlarni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70F77C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7738FE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rsatilayotgan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sifatini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istalgan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vaqtda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tekshirish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76331C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3.2.4.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Bosh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ofisi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binolariga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kirishini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379A25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C55D7F8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topshirish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qabul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44B224D" w14:textId="7AEFE28C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rsatilgandan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2C54EC" w:rsidRPr="002C54EC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10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16FE2A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yuborishi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C57E69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Agar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hisobfaktura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yuborilgan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olmasa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deb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336A76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4.2.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topshirish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dalolatnomasi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paytdan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C0946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10ADF0E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Maxfiylik</w:t>
      </w:r>
      <w:proofErr w:type="spellEnd"/>
    </w:p>
    <w:p w14:paraId="291C048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mavjudligi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mazmunini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sir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saqlash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2E6DD8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5.2.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roziligisiz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ma’lumot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oshkor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etmaslikka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majburdirlar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CE45A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5.3.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qonunchiligida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mustasno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cheklanmagan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doirasiga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ochiq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etilmaydi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D5248C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8BE7D23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-major</w:t>
      </w:r>
    </w:p>
    <w:p w14:paraId="6ED3A42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bajarilmasligi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yong‘in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suv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toshqini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zilzila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tabiiy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ofatlar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kabi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oqibatida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javobgarlikdan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ozod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84DFA8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kelganda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oqibatlari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muddatga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mutanosib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uzaytiriladi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29034D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boshlanishi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tugashi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bir-birini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148710E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6.4.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holatlariga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tayanayotgan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organi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hujjatni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325E24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0F65ABFC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javobgarligi</w:t>
      </w:r>
      <w:proofErr w:type="spellEnd"/>
    </w:p>
    <w:p w14:paraId="4A83AA6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7.1.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ko‘rsatmaganligi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summasining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miqdorida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summasi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qiymatining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20 %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oshmasligi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82D12AD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7.2.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lovni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kechiktirgan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summa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20 %dan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oshmagan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43247D9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7.3.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javobgarlik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choralari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Fuqarolik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kodeksi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Xo‘jalik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yurituvchi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subyektlar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faoliyatining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shartnomaviy-huquqiy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bazasi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to‘g‘risida”gi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qonunchilikka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qo‘llaniladi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7FB10E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5C307F7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muddati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bekor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615571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8.1.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e’tiboran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bajarilgunga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BBBB8D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8.2.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sanadan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_________ 202__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yildan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AF10F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62B5736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Nizolarni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17BD66E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9.1.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imkon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yo‘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82216F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9.2.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imkoni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qonunchilikda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tartibidan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Iqtisodiy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sudida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ED7FA84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2EB26C4D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Korrupsiyaga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qarshi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band</w:t>
      </w:r>
    </w:p>
    <w:p w14:paraId="0DF1915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baholanishi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761F933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talabni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4A1C24A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10.2.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CA7638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1CA2194C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1B137A1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56AFC5BF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30421B5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bajaradigan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zid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31E8741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paydo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537B57B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53A2D09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3DEAE20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ehtimoliy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0CAE535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kelmasligini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C7E518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asosi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9AC7E17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96E3749" w14:textId="77777777" w:rsidR="00F57AA3" w:rsidRDefault="00F57AA3" w:rsidP="00F57A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Yakuniy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qoidalar</w:t>
      </w:r>
      <w:proofErr w:type="spellEnd"/>
    </w:p>
    <w:p w14:paraId="344BB9D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11.1.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kiritiladigan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zgartirish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qo‘shimchalar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faqat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taqdirdagina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haqiqiy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8248002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11.2.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qonunchiligiga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qiladilar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B4FBAF3" w14:textId="77777777" w:rsidR="00F57AA3" w:rsidRDefault="00F57AA3" w:rsidP="00F57A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11.3.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nusxada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>
        <w:rPr>
          <w:rFonts w:ascii="Times New Roman" w:eastAsia="Times New Roman" w:hAnsi="Times New Roman" w:cs="Times New Roman"/>
          <w:color w:val="auto"/>
          <w:lang w:val="en-US"/>
        </w:rPr>
        <w:t>lib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ikkala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xil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yuridik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. Har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bittadan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val="en-US"/>
        </w:rPr>
        <w:t>saqlanadi</w:t>
      </w:r>
      <w:proofErr w:type="spellEnd"/>
      <w:r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CC3B72D" w14:textId="77777777" w:rsidR="00F57AA3" w:rsidRDefault="00F57AA3" w:rsidP="00F57AA3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B56E3FB" w14:textId="77777777" w:rsidR="00F57AA3" w:rsidRDefault="00F57AA3" w:rsidP="00F57AA3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5F74FB95" w14:textId="77777777" w:rsidR="00F57AA3" w:rsidRDefault="00F57AA3" w:rsidP="00F57AA3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25E47672" w14:textId="77777777" w:rsidR="00F57AA3" w:rsidRDefault="00F57AA3" w:rsidP="00F57AA3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F57AA3" w14:paraId="532DFFAE" w14:textId="77777777" w:rsidTr="00F57AA3">
        <w:trPr>
          <w:trHeight w:val="2046"/>
        </w:trPr>
        <w:tc>
          <w:tcPr>
            <w:tcW w:w="5256" w:type="dxa"/>
            <w:vAlign w:val="center"/>
          </w:tcPr>
          <w:p w14:paraId="48A0BBCB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ab/>
            </w:r>
          </w:p>
          <w:p w14:paraId="5951466B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14:paraId="1E075163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19CA06A1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Ijrochi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en-US"/>
              </w:rPr>
              <w:t>:</w:t>
            </w:r>
          </w:p>
          <w:p w14:paraId="766D02C9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14:paraId="4F10D0FB" w14:textId="77777777" w:rsidR="00F57AA3" w:rsidRDefault="00F57AA3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___________________________</w:t>
            </w:r>
          </w:p>
        </w:tc>
      </w:tr>
    </w:tbl>
    <w:p w14:paraId="26B68F87" w14:textId="77777777" w:rsidR="00F57AA3" w:rsidRDefault="00F57AA3" w:rsidP="00F57AA3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44ACF54D" w14:textId="77777777" w:rsidR="00F57AA3" w:rsidRDefault="00F57AA3" w:rsidP="00F57AA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72BA58D" w14:textId="77777777" w:rsidR="00A577A9" w:rsidRPr="00523286" w:rsidRDefault="00A577A9" w:rsidP="00F57A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B428" w14:textId="77777777" w:rsidR="009031B6" w:rsidRDefault="009031B6">
      <w:pPr>
        <w:spacing w:after="0" w:line="240" w:lineRule="auto"/>
      </w:pPr>
      <w:r>
        <w:separator/>
      </w:r>
    </w:p>
  </w:endnote>
  <w:endnote w:type="continuationSeparator" w:id="0">
    <w:p w14:paraId="1DFF40AB" w14:textId="77777777" w:rsidR="009031B6" w:rsidRDefault="0090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1B4E" w14:textId="77777777" w:rsidR="009031B6" w:rsidRDefault="009031B6">
      <w:pPr>
        <w:spacing w:after="0" w:line="240" w:lineRule="auto"/>
      </w:pPr>
      <w:r>
        <w:separator/>
      </w:r>
    </w:p>
  </w:footnote>
  <w:footnote w:type="continuationSeparator" w:id="0">
    <w:p w14:paraId="0F146EE8" w14:textId="77777777" w:rsidR="009031B6" w:rsidRDefault="0090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406B"/>
    <w:rsid w:val="0000635C"/>
    <w:rsid w:val="00007E98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47806"/>
    <w:rsid w:val="00050035"/>
    <w:rsid w:val="0005044C"/>
    <w:rsid w:val="00052D69"/>
    <w:rsid w:val="00056CEE"/>
    <w:rsid w:val="00060DFE"/>
    <w:rsid w:val="00061F43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5CB9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02ED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C0812"/>
    <w:rsid w:val="001C2416"/>
    <w:rsid w:val="001C26BF"/>
    <w:rsid w:val="001C44C3"/>
    <w:rsid w:val="001C5562"/>
    <w:rsid w:val="001C575C"/>
    <w:rsid w:val="001C5CF1"/>
    <w:rsid w:val="001C6378"/>
    <w:rsid w:val="001D1595"/>
    <w:rsid w:val="001D1A78"/>
    <w:rsid w:val="001D30B6"/>
    <w:rsid w:val="001D3769"/>
    <w:rsid w:val="001D3911"/>
    <w:rsid w:val="001D3F15"/>
    <w:rsid w:val="001D3FF8"/>
    <w:rsid w:val="001D6276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3104"/>
    <w:rsid w:val="001F3BB9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37C53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54EC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A3D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3"/>
    <w:rsid w:val="004719BC"/>
    <w:rsid w:val="00473210"/>
    <w:rsid w:val="00473CBA"/>
    <w:rsid w:val="004748CE"/>
    <w:rsid w:val="00475741"/>
    <w:rsid w:val="0047630D"/>
    <w:rsid w:val="00483350"/>
    <w:rsid w:val="00483B81"/>
    <w:rsid w:val="004869F2"/>
    <w:rsid w:val="004873A3"/>
    <w:rsid w:val="00490445"/>
    <w:rsid w:val="00491D23"/>
    <w:rsid w:val="00492EB1"/>
    <w:rsid w:val="00493055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293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50E9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CF3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77B"/>
    <w:rsid w:val="006F4807"/>
    <w:rsid w:val="006F4E37"/>
    <w:rsid w:val="006F5DCE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1B6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5E3F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5C7E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67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1BB0"/>
    <w:rsid w:val="00CE27EC"/>
    <w:rsid w:val="00CE2DC5"/>
    <w:rsid w:val="00CE2E40"/>
    <w:rsid w:val="00CE5400"/>
    <w:rsid w:val="00CE5F64"/>
    <w:rsid w:val="00CE7588"/>
    <w:rsid w:val="00CF009E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4402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5C4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27A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2168"/>
    <w:rsid w:val="00E537A0"/>
    <w:rsid w:val="00E53816"/>
    <w:rsid w:val="00E5749A"/>
    <w:rsid w:val="00E57F72"/>
    <w:rsid w:val="00E61416"/>
    <w:rsid w:val="00E61928"/>
    <w:rsid w:val="00E62083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0CB"/>
    <w:rsid w:val="00ED4411"/>
    <w:rsid w:val="00ED50B9"/>
    <w:rsid w:val="00ED7D21"/>
    <w:rsid w:val="00EE00C6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574E3"/>
    <w:rsid w:val="00F57AA3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7779</Words>
  <Characters>44345</Characters>
  <Application>Microsoft Office Word</Application>
  <DocSecurity>0</DocSecurity>
  <Lines>369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52020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2026-03-19T07:09:00Z</cp:lastPrinted>
  <dcterms:created xsi:type="dcterms:W3CDTF">2026-05-19T06:45:00Z</dcterms:created>
  <dcterms:modified xsi:type="dcterms:W3CDTF">2026-05-19T06:45:00Z</dcterms:modified>
</cp:coreProperties>
</file>